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0740" w14:textId="6F80355F" w:rsidR="00B24479" w:rsidRPr="005959D5" w:rsidRDefault="00B24479" w:rsidP="00B24479">
      <w:pPr>
        <w:widowControl w:val="0"/>
        <w:tabs>
          <w:tab w:val="left" w:pos="2410"/>
          <w:tab w:val="left" w:pos="7655"/>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r w:rsidRPr="005959D5">
        <w:rPr>
          <w:rFonts w:ascii="Arial" w:eastAsia="SimSun" w:hAnsi="Arial" w:cs="Times New Roman"/>
          <w:b/>
          <w:bCs/>
          <w:sz w:val="24"/>
          <w:szCs w:val="24"/>
          <w:lang w:eastAsia="ja-JP"/>
        </w:rPr>
        <w:t>3GPP TSG RAN4 Meeting #116bis</w:t>
      </w:r>
      <w:r w:rsidRPr="005959D5">
        <w:rPr>
          <w:rFonts w:ascii="Arial" w:eastAsia="SimSun" w:hAnsi="Arial" w:cs="Times New Roman"/>
          <w:b/>
          <w:bCs/>
          <w:sz w:val="24"/>
          <w:szCs w:val="24"/>
          <w:lang w:eastAsia="ja-JP"/>
        </w:rPr>
        <w:tab/>
      </w:r>
      <w:r w:rsidRPr="005959D5">
        <w:rPr>
          <w:rFonts w:ascii="Arial" w:eastAsia="SimSun" w:hAnsi="Arial" w:cs="Times New Roman"/>
          <w:b/>
          <w:bCs/>
          <w:sz w:val="24"/>
          <w:szCs w:val="24"/>
          <w:lang w:eastAsia="ja-JP"/>
        </w:rPr>
        <w:tab/>
      </w:r>
      <w:r w:rsidR="00721B6E" w:rsidRPr="00721B6E">
        <w:rPr>
          <w:rFonts w:ascii="Arial" w:eastAsia="SimSun" w:hAnsi="Arial" w:cs="Times New Roman"/>
          <w:b/>
          <w:bCs/>
          <w:sz w:val="24"/>
          <w:szCs w:val="24"/>
          <w:lang w:eastAsia="ja-JP"/>
        </w:rPr>
        <w:t>R4-2514347</w:t>
      </w:r>
      <w:r w:rsidRPr="005959D5">
        <w:rPr>
          <w:rFonts w:ascii="Arial" w:eastAsia="SimSun" w:hAnsi="Arial" w:cs="Times New Roman"/>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4E19011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04CB3F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99FE871" w14:textId="2670AF6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D31A0">
        <w:rPr>
          <w:rFonts w:ascii="Arial" w:eastAsia="Calibri" w:hAnsi="Arial" w:cs="Arial"/>
          <w:b/>
          <w:bCs/>
          <w:sz w:val="24"/>
        </w:rPr>
        <w:t xml:space="preserve">Requirements for NTN UEs on </w:t>
      </w:r>
      <w:r w:rsidR="00542797">
        <w:rPr>
          <w:rFonts w:ascii="Arial" w:eastAsia="Calibri" w:hAnsi="Arial" w:cs="Arial"/>
          <w:b/>
          <w:bCs/>
          <w:sz w:val="24"/>
        </w:rPr>
        <w:t xml:space="preserve">Satellite switching in </w:t>
      </w:r>
      <w:r w:rsidR="000D31A0">
        <w:rPr>
          <w:rFonts w:ascii="Arial" w:eastAsia="Calibri" w:hAnsi="Arial" w:cs="Arial"/>
          <w:b/>
          <w:bCs/>
          <w:sz w:val="24"/>
        </w:rPr>
        <w:t>Ku band operation</w:t>
      </w:r>
    </w:p>
    <w:p w14:paraId="56A4D9E4" w14:textId="2E1118A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42797">
        <w:rPr>
          <w:rFonts w:ascii="Arial" w:eastAsia="MS Mincho" w:hAnsi="Arial" w:cs="Arial"/>
          <w:b/>
          <w:bCs/>
          <w:sz w:val="24"/>
          <w:szCs w:val="20"/>
        </w:rPr>
        <w:t>4.2.7.4</w:t>
      </w:r>
    </w:p>
    <w:p w14:paraId="0D47EB6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B1F8825"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0AF4ADAA" w14:textId="3C57370B" w:rsidR="003152B4" w:rsidRDefault="00455028" w:rsidP="00455028">
      <w:r w:rsidRPr="00CA7877">
        <w:t xml:space="preserve">In the last RAN4 meeting, the discussions for the implementation of RRM requirements related to Ku Band have </w:t>
      </w:r>
      <w:r w:rsidR="003152B4">
        <w:t xml:space="preserve">LED to the implementation of this new feature in the standard. One of the main </w:t>
      </w:r>
      <w:proofErr w:type="gramStart"/>
      <w:r w:rsidR="003152B4">
        <w:t>difference</w:t>
      </w:r>
      <w:proofErr w:type="gramEnd"/>
      <w:r w:rsidR="003152B4">
        <w:t xml:space="preserve"> of the new feature is that in the Ku </w:t>
      </w:r>
      <w:proofErr w:type="gramStart"/>
      <w:r w:rsidR="003152B4">
        <w:t>Band,  both</w:t>
      </w:r>
      <w:proofErr w:type="gramEnd"/>
      <w:r w:rsidR="003152B4">
        <w:t xml:space="preserve"> FR1-NTN and FR2-NTN numerology might be used, at the discretion of the network. </w:t>
      </w:r>
    </w:p>
    <w:p w14:paraId="18804EC8" w14:textId="4CC79809" w:rsidR="00C34521" w:rsidRDefault="003152B4" w:rsidP="003152B4">
      <w:r>
        <w:t xml:space="preserve">Currently there is just one open issue in the core part of the requirements for the Ku Band operation in NTN </w:t>
      </w:r>
      <w:r w:rsidR="00455028" w:rsidRPr="00CA7877">
        <w:fldChar w:fldCharType="begin"/>
      </w:r>
      <w:r w:rsidR="00455028" w:rsidRPr="00CA7877">
        <w:instrText xml:space="preserve"> REF _Ref194052563 \r \h </w:instrText>
      </w:r>
      <w:r w:rsidR="00455028">
        <w:instrText xml:space="preserve"> \* MERGEFORMAT </w:instrText>
      </w:r>
      <w:r w:rsidR="00455028" w:rsidRPr="00CA7877">
        <w:fldChar w:fldCharType="separate"/>
      </w:r>
      <w:r w:rsidR="00455028" w:rsidRPr="00CA7877">
        <w:t>[1]</w:t>
      </w:r>
      <w:r w:rsidR="00455028" w:rsidRPr="00CA7877">
        <w:fldChar w:fldCharType="end"/>
      </w:r>
      <w:r w:rsidR="00455028" w:rsidRPr="00CA7877">
        <w:t xml:space="preserve">. </w:t>
      </w:r>
      <w:r>
        <w:t xml:space="preserve">In this document we provide our view related to this issue. </w:t>
      </w:r>
    </w:p>
    <w:p w14:paraId="5303E435" w14:textId="77777777" w:rsidR="0060543D" w:rsidRPr="008F786B" w:rsidRDefault="0060543D" w:rsidP="005C23A4"/>
    <w:p w14:paraId="5756AF0D" w14:textId="77777777" w:rsidR="00B66B7D" w:rsidRDefault="003B659E" w:rsidP="00B66B7D">
      <w:pPr>
        <w:pStyle w:val="RAN4H1"/>
      </w:pPr>
      <w:bookmarkStart w:id="1" w:name="_Toc116995842"/>
      <w:r w:rsidRPr="008F786B">
        <w:t>Discussion</w:t>
      </w:r>
      <w:bookmarkEnd w:id="1"/>
    </w:p>
    <w:p w14:paraId="338671D8" w14:textId="27D2051A" w:rsidR="00B66B7D" w:rsidRPr="00C452BC" w:rsidRDefault="003152B4" w:rsidP="00B66B7D">
      <w:r>
        <w:t>Currently there is a single open issue in the implementation of the Ku band operation in NTN according to the WF</w:t>
      </w:r>
      <w:r w:rsidR="000D31A0" w:rsidRPr="00C452BC">
        <w:t xml:space="preserve"> </w:t>
      </w:r>
      <w:r w:rsidR="000D31A0" w:rsidRPr="00C452BC">
        <w:fldChar w:fldCharType="begin"/>
      </w:r>
      <w:r w:rsidR="000D31A0" w:rsidRPr="00C452BC">
        <w:instrText xml:space="preserve"> REF _Ref197606253 \r \h </w:instrText>
      </w:r>
      <w:r w:rsidR="00C452BC">
        <w:instrText xml:space="preserve"> \* MERGEFORMAT </w:instrText>
      </w:r>
      <w:r w:rsidR="000D31A0" w:rsidRPr="00C452BC">
        <w:fldChar w:fldCharType="separate"/>
      </w:r>
      <w:r w:rsidR="000D31A0" w:rsidRPr="00C452BC">
        <w:t>[1]</w:t>
      </w:r>
      <w:r w:rsidR="000D31A0" w:rsidRPr="00C452BC">
        <w:fldChar w:fldCharType="end"/>
      </w:r>
      <w:r w:rsidR="000D31A0" w:rsidRPr="00C452BC">
        <w:t xml:space="preserve">. </w:t>
      </w:r>
    </w:p>
    <w:p w14:paraId="01E0A058" w14:textId="3ED94705" w:rsidR="000D31A0" w:rsidRPr="00C452BC" w:rsidRDefault="000D31A0" w:rsidP="000D31A0">
      <w:r w:rsidRPr="00C452BC">
        <w:t xml:space="preserve"> </w:t>
      </w:r>
    </w:p>
    <w:tbl>
      <w:tblPr>
        <w:tblStyle w:val="TableGrid"/>
        <w:tblW w:w="0" w:type="auto"/>
        <w:tblLook w:val="04A0" w:firstRow="1" w:lastRow="0" w:firstColumn="1" w:lastColumn="0" w:noHBand="0" w:noVBand="1"/>
      </w:tblPr>
      <w:tblGrid>
        <w:gridCol w:w="9617"/>
      </w:tblGrid>
      <w:tr w:rsidR="000D31A0" w:rsidRPr="00C452BC" w14:paraId="208BAEB9" w14:textId="77777777" w:rsidTr="000D31A0">
        <w:tc>
          <w:tcPr>
            <w:tcW w:w="9617" w:type="dxa"/>
          </w:tcPr>
          <w:p w14:paraId="3794CE37" w14:textId="77777777" w:rsidR="003152B4" w:rsidRPr="00902107" w:rsidRDefault="003152B4" w:rsidP="003152B4">
            <w:pPr>
              <w:snapToGrid w:val="0"/>
              <w:spacing w:after="120"/>
              <w:rPr>
                <w:b/>
                <w:bCs/>
                <w:color w:val="000000"/>
                <w:szCs w:val="21"/>
                <w:u w:val="single"/>
              </w:rPr>
            </w:pPr>
            <w:r w:rsidRPr="00902107">
              <w:rPr>
                <w:b/>
                <w:bCs/>
                <w:color w:val="000000"/>
                <w:szCs w:val="21"/>
                <w:u w:val="single"/>
              </w:rPr>
              <w:t>Issue 1-2-2: soft satellite switching with re-sync</w:t>
            </w:r>
          </w:p>
          <w:p w14:paraId="62B7DC36" w14:textId="77777777" w:rsidR="003152B4" w:rsidRPr="00902107" w:rsidRDefault="003152B4" w:rsidP="003152B4">
            <w:pPr>
              <w:overflowPunct w:val="0"/>
              <w:autoSpaceDE w:val="0"/>
              <w:autoSpaceDN w:val="0"/>
              <w:adjustRightInd w:val="0"/>
              <w:spacing w:after="120"/>
              <w:rPr>
                <w:rFonts w:eastAsia="Malgun Gothic"/>
                <w:szCs w:val="21"/>
                <w:u w:val="single"/>
              </w:rPr>
            </w:pPr>
            <w:r w:rsidRPr="00902107">
              <w:rPr>
                <w:rFonts w:eastAsia="Malgun Gothic"/>
                <w:szCs w:val="21"/>
                <w:u w:val="single"/>
              </w:rPr>
              <w:t>Agreement:</w:t>
            </w:r>
          </w:p>
          <w:p w14:paraId="4287E15A" w14:textId="77777777" w:rsidR="003152B4" w:rsidRPr="00161C75" w:rsidRDefault="003152B4" w:rsidP="003152B4">
            <w:pPr>
              <w:numPr>
                <w:ilvl w:val="0"/>
                <w:numId w:val="30"/>
              </w:numPr>
              <w:snapToGrid w:val="0"/>
              <w:spacing w:after="120"/>
              <w:rPr>
                <w:color w:val="000000"/>
                <w:szCs w:val="21"/>
              </w:rPr>
            </w:pPr>
            <w:r w:rsidRPr="00161C75">
              <w:rPr>
                <w:color w:val="000000"/>
                <w:szCs w:val="21"/>
              </w:rPr>
              <w:t>Agree to introduce RRM requirements for soft satellite switching with re-sync for the VSAT UE with electronic beam steerin</w:t>
            </w:r>
            <w:r w:rsidRPr="00067391">
              <w:rPr>
                <w:color w:val="000000"/>
                <w:szCs w:val="21"/>
              </w:rPr>
              <w:t>g:</w:t>
            </w:r>
          </w:p>
          <w:p w14:paraId="71DD1C73" w14:textId="77777777" w:rsidR="003152B4" w:rsidRPr="00161C75" w:rsidRDefault="003152B4" w:rsidP="003152B4">
            <w:pPr>
              <w:snapToGrid w:val="0"/>
              <w:spacing w:after="120"/>
              <w:jc w:val="center"/>
              <w:rPr>
                <w:color w:val="000000"/>
                <w:szCs w:val="21"/>
              </w:rPr>
            </w:pPr>
            <w:proofErr w:type="spellStart"/>
            <w:r w:rsidRPr="00161C75">
              <w:rPr>
                <w:color w:val="000000"/>
                <w:szCs w:val="21"/>
              </w:rPr>
              <w:t>T</w:t>
            </w:r>
            <w:r w:rsidRPr="00161C75">
              <w:rPr>
                <w:color w:val="000000"/>
                <w:szCs w:val="21"/>
                <w:vertAlign w:val="subscript"/>
              </w:rPr>
              <w:t>soft_switch</w:t>
            </w:r>
            <w:proofErr w:type="spellEnd"/>
            <w:r w:rsidRPr="00161C75">
              <w:rPr>
                <w:color w:val="000000"/>
                <w:szCs w:val="21"/>
              </w:rPr>
              <w:t xml:space="preserve"> = </w:t>
            </w:r>
            <w:proofErr w:type="gramStart"/>
            <w:r w:rsidRPr="00161C75">
              <w:rPr>
                <w:color w:val="000000"/>
                <w:szCs w:val="21"/>
              </w:rPr>
              <w:t>max(</w:t>
            </w:r>
            <w:proofErr w:type="gramEnd"/>
            <w:r w:rsidRPr="00161C75">
              <w:rPr>
                <w:i/>
                <w:color w:val="000000"/>
                <w:szCs w:val="21"/>
              </w:rPr>
              <w:t>t-service</w:t>
            </w:r>
            <w:r w:rsidRPr="00161C75">
              <w:rPr>
                <w:color w:val="000000"/>
                <w:szCs w:val="21"/>
              </w:rPr>
              <w:t>-</w:t>
            </w:r>
            <w:r w:rsidRPr="00161C75">
              <w:rPr>
                <w:i/>
                <w:color w:val="000000"/>
                <w:szCs w:val="21"/>
              </w:rPr>
              <w:t>t-</w:t>
            </w:r>
            <w:proofErr w:type="spellStart"/>
            <w:r w:rsidRPr="00161C75">
              <w:rPr>
                <w:i/>
                <w:color w:val="000000"/>
                <w:szCs w:val="21"/>
              </w:rPr>
              <w:t>serviceStart</w:t>
            </w:r>
            <w:proofErr w:type="spellEnd"/>
            <w:r w:rsidRPr="00161C75">
              <w:rPr>
                <w:color w:val="000000"/>
                <w:szCs w:val="21"/>
              </w:rPr>
              <w:t xml:space="preserve">, </w:t>
            </w:r>
            <w:proofErr w:type="spellStart"/>
            <w:r w:rsidRPr="00161C75">
              <w:rPr>
                <w:color w:val="000000"/>
                <w:szCs w:val="21"/>
              </w:rPr>
              <w:t>T</w:t>
            </w:r>
            <w:r w:rsidRPr="00161C75">
              <w:rPr>
                <w:color w:val="000000"/>
                <w:szCs w:val="21"/>
                <w:vertAlign w:val="subscript"/>
              </w:rPr>
              <w:t>sat_beam</w:t>
            </w:r>
            <w:proofErr w:type="spellEnd"/>
            <w:r w:rsidRPr="00161C75">
              <w:rPr>
                <w:color w:val="000000"/>
                <w:szCs w:val="21"/>
                <w:vertAlign w:val="subscript"/>
              </w:rPr>
              <w:t xml:space="preserve"> </w:t>
            </w:r>
            <w:r w:rsidRPr="00161C75">
              <w:rPr>
                <w:color w:val="000000"/>
                <w:szCs w:val="21"/>
              </w:rPr>
              <w:t xml:space="preserve">+ </w:t>
            </w:r>
            <w:proofErr w:type="spellStart"/>
            <w:r w:rsidRPr="00161C75">
              <w:rPr>
                <w:color w:val="000000"/>
                <w:szCs w:val="21"/>
              </w:rPr>
              <w:t>T</w:t>
            </w:r>
            <w:r w:rsidRPr="00161C75">
              <w:rPr>
                <w:color w:val="000000"/>
                <w:szCs w:val="21"/>
                <w:vertAlign w:val="subscript"/>
              </w:rPr>
              <w:t>search</w:t>
            </w:r>
            <w:proofErr w:type="spellEnd"/>
            <w:r w:rsidRPr="00161C75">
              <w:rPr>
                <w:color w:val="000000"/>
                <w:szCs w:val="21"/>
              </w:rPr>
              <w:t xml:space="preserve"> + T</w:t>
            </w:r>
            <w:r w:rsidRPr="00161C75">
              <w:rPr>
                <w:color w:val="000000"/>
                <w:szCs w:val="21"/>
                <w:vertAlign w:val="subscript"/>
              </w:rPr>
              <w:t>∆</w:t>
            </w:r>
            <w:r w:rsidRPr="00161C75">
              <w:rPr>
                <w:color w:val="000000"/>
                <w:szCs w:val="21"/>
              </w:rPr>
              <w:t xml:space="preserve"> + </w:t>
            </w:r>
            <w:proofErr w:type="spellStart"/>
            <w:r w:rsidRPr="00161C75">
              <w:rPr>
                <w:color w:val="000000"/>
                <w:szCs w:val="21"/>
              </w:rPr>
              <w:t>T</w:t>
            </w:r>
            <w:r w:rsidRPr="00161C75">
              <w:rPr>
                <w:color w:val="000000"/>
                <w:szCs w:val="21"/>
                <w:vertAlign w:val="subscript"/>
              </w:rPr>
              <w:t>margin</w:t>
            </w:r>
            <w:proofErr w:type="spellEnd"/>
            <w:r w:rsidRPr="00161C75">
              <w:rPr>
                <w:color w:val="000000"/>
                <w:szCs w:val="21"/>
              </w:rPr>
              <w:t xml:space="preserve">) + </w:t>
            </w:r>
            <w:proofErr w:type="spellStart"/>
            <w:r w:rsidRPr="00161C75">
              <w:rPr>
                <w:color w:val="000000"/>
                <w:szCs w:val="21"/>
              </w:rPr>
              <w:t>T</w:t>
            </w:r>
            <w:r w:rsidRPr="00161C75">
              <w:rPr>
                <w:color w:val="000000"/>
                <w:szCs w:val="21"/>
                <w:vertAlign w:val="subscript"/>
              </w:rPr>
              <w:t>processing</w:t>
            </w:r>
            <w:proofErr w:type="spellEnd"/>
          </w:p>
          <w:p w14:paraId="4A99510D" w14:textId="77777777" w:rsidR="003152B4" w:rsidRPr="00067391" w:rsidRDefault="003152B4" w:rsidP="003152B4">
            <w:pPr>
              <w:numPr>
                <w:ilvl w:val="0"/>
                <w:numId w:val="30"/>
              </w:numPr>
              <w:snapToGrid w:val="0"/>
              <w:spacing w:after="120"/>
              <w:rPr>
                <w:color w:val="000000"/>
                <w:szCs w:val="21"/>
              </w:rPr>
            </w:pPr>
            <w:r w:rsidRPr="00067391">
              <w:rPr>
                <w:color w:val="000000"/>
                <w:szCs w:val="21"/>
              </w:rPr>
              <w:t xml:space="preserve">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 is </w:t>
            </w:r>
            <w:proofErr w:type="spellStart"/>
            <w:r w:rsidRPr="00067391">
              <w:rPr>
                <w:color w:val="000000"/>
                <w:szCs w:val="21"/>
              </w:rPr>
              <w:t>is</w:t>
            </w:r>
            <w:proofErr w:type="spellEnd"/>
            <w:r w:rsidRPr="00067391">
              <w:rPr>
                <w:color w:val="000000"/>
                <w:szCs w:val="21"/>
              </w:rPr>
              <w:t xml:space="preserve"> less than </w:t>
            </w:r>
            <w:r w:rsidRPr="003152B4">
              <w:rPr>
                <w:rFonts w:hint="eastAsia"/>
                <w:color w:val="000000"/>
                <w:szCs w:val="21"/>
                <w:highlight w:val="green"/>
              </w:rPr>
              <w:t>[</w:t>
            </w:r>
            <w:r w:rsidRPr="003152B4">
              <w:rPr>
                <w:color w:val="000000"/>
                <w:szCs w:val="21"/>
                <w:highlight w:val="green"/>
              </w:rPr>
              <w:t>1]</w:t>
            </w:r>
            <w:r w:rsidRPr="00067391">
              <w:rPr>
                <w:color w:val="000000"/>
                <w:szCs w:val="21"/>
              </w:rPr>
              <w:t xml:space="preserve"> s.</w:t>
            </w:r>
          </w:p>
          <w:p w14:paraId="76C74180" w14:textId="77777777" w:rsidR="003152B4" w:rsidRPr="003152B4" w:rsidRDefault="003152B4" w:rsidP="003152B4">
            <w:pPr>
              <w:numPr>
                <w:ilvl w:val="1"/>
                <w:numId w:val="30"/>
              </w:numPr>
              <w:snapToGrid w:val="0"/>
              <w:spacing w:after="120"/>
              <w:rPr>
                <w:color w:val="000000"/>
                <w:szCs w:val="21"/>
                <w:highlight w:val="green"/>
              </w:rPr>
            </w:pPr>
            <w:r w:rsidRPr="003152B4">
              <w:rPr>
                <w:color w:val="000000"/>
                <w:szCs w:val="21"/>
                <w:highlight w:val="green"/>
              </w:rPr>
              <w:t xml:space="preserve">Further refinement on the wording is not </w:t>
            </w:r>
            <w:proofErr w:type="spellStart"/>
            <w:r w:rsidRPr="003152B4">
              <w:rPr>
                <w:color w:val="000000"/>
                <w:szCs w:val="21"/>
                <w:highlight w:val="green"/>
              </w:rPr>
              <w:t>precluced</w:t>
            </w:r>
            <w:proofErr w:type="spellEnd"/>
            <w:r w:rsidRPr="003152B4">
              <w:rPr>
                <w:color w:val="000000"/>
                <w:szCs w:val="21"/>
                <w:highlight w:val="green"/>
              </w:rPr>
              <w:t>.</w:t>
            </w:r>
          </w:p>
          <w:p w14:paraId="5528CD46" w14:textId="77777777" w:rsidR="003152B4" w:rsidRPr="003152B4" w:rsidRDefault="003152B4" w:rsidP="003152B4">
            <w:pPr>
              <w:numPr>
                <w:ilvl w:val="1"/>
                <w:numId w:val="30"/>
              </w:numPr>
              <w:snapToGrid w:val="0"/>
              <w:spacing w:after="120"/>
              <w:rPr>
                <w:color w:val="000000"/>
                <w:szCs w:val="21"/>
                <w:highlight w:val="green"/>
              </w:rPr>
            </w:pPr>
            <w:r w:rsidRPr="003152B4">
              <w:rPr>
                <w:color w:val="000000"/>
                <w:szCs w:val="21"/>
                <w:highlight w:val="green"/>
              </w:rPr>
              <w:t>Further discussion on the value of [1] is not precluded.</w:t>
            </w:r>
          </w:p>
          <w:p w14:paraId="1957E759" w14:textId="77777777" w:rsidR="003152B4" w:rsidRPr="00067391" w:rsidRDefault="003152B4" w:rsidP="003152B4">
            <w:pPr>
              <w:numPr>
                <w:ilvl w:val="0"/>
                <w:numId w:val="30"/>
              </w:numPr>
              <w:snapToGrid w:val="0"/>
              <w:spacing w:after="120"/>
              <w:rPr>
                <w:color w:val="000000"/>
                <w:szCs w:val="21"/>
              </w:rPr>
            </w:pPr>
            <w:r w:rsidRPr="00067391">
              <w:rPr>
                <w:color w:val="000000"/>
                <w:szCs w:val="21"/>
              </w:rPr>
              <w:t xml:space="preserve">Extend the period of the scheduling restriction by two sided </w:t>
            </w:r>
            <w:proofErr w:type="spellStart"/>
            <w:r w:rsidRPr="00067391">
              <w:rPr>
                <w:color w:val="000000"/>
                <w:szCs w:val="21"/>
              </w:rPr>
              <w:t>T</w:t>
            </w:r>
            <w:r w:rsidRPr="00067391">
              <w:rPr>
                <w:color w:val="000000"/>
                <w:szCs w:val="21"/>
                <w:vertAlign w:val="subscript"/>
              </w:rPr>
              <w:t>RX_switch</w:t>
            </w:r>
            <w:proofErr w:type="spellEnd"/>
            <w:r w:rsidRPr="00067391">
              <w:rPr>
                <w:color w:val="000000"/>
                <w:szCs w:val="21"/>
              </w:rPr>
              <w:t xml:space="preserve">, </w:t>
            </w:r>
            <w:proofErr w:type="spellStart"/>
            <w:r w:rsidRPr="00067391">
              <w:rPr>
                <w:color w:val="000000"/>
                <w:szCs w:val="21"/>
              </w:rPr>
              <w:t>T</w:t>
            </w:r>
            <w:r w:rsidRPr="00067391">
              <w:rPr>
                <w:color w:val="000000"/>
                <w:szCs w:val="21"/>
                <w:vertAlign w:val="subscript"/>
              </w:rPr>
              <w:t>RX_switch</w:t>
            </w:r>
            <w:proofErr w:type="spellEnd"/>
            <w:r w:rsidRPr="00067391">
              <w:rPr>
                <w:color w:val="000000"/>
                <w:szCs w:val="21"/>
              </w:rPr>
              <w:t xml:space="preserve"> = 1 symbol.</w:t>
            </w:r>
          </w:p>
          <w:p w14:paraId="4B01D66B" w14:textId="77777777" w:rsidR="000D31A0" w:rsidRPr="003152B4" w:rsidRDefault="000D31A0" w:rsidP="000D31A0"/>
        </w:tc>
      </w:tr>
    </w:tbl>
    <w:p w14:paraId="75C10B17" w14:textId="77777777" w:rsidR="000D31A0" w:rsidRDefault="000D31A0" w:rsidP="000D31A0"/>
    <w:p w14:paraId="7ABE6B47" w14:textId="6FF54D06" w:rsidR="003152B4" w:rsidRDefault="003152B4" w:rsidP="000D31A0">
      <w:r>
        <w:t>There are two aspects to be discussed:</w:t>
      </w:r>
    </w:p>
    <w:p w14:paraId="72711359" w14:textId="368083D3" w:rsidR="003152B4" w:rsidRDefault="003152B4" w:rsidP="003152B4">
      <w:pPr>
        <w:pStyle w:val="ListParagraph"/>
        <w:numPr>
          <w:ilvl w:val="0"/>
          <w:numId w:val="34"/>
        </w:numPr>
      </w:pPr>
      <w:r>
        <w:t xml:space="preserve">The refinement of the wording of the “warning period” of the soft satellite switching that enables the UE to implement the feature correctly. </w:t>
      </w:r>
    </w:p>
    <w:p w14:paraId="0A9AC2A9" w14:textId="3B384240" w:rsidR="003152B4" w:rsidRDefault="003152B4" w:rsidP="003152B4">
      <w:pPr>
        <w:pStyle w:val="ListParagraph"/>
        <w:numPr>
          <w:ilvl w:val="0"/>
          <w:numId w:val="34"/>
        </w:numPr>
      </w:pPr>
      <w:r>
        <w:t xml:space="preserve">The confirmation of the value of 1 s. </w:t>
      </w:r>
    </w:p>
    <w:p w14:paraId="7DA3BBB5" w14:textId="77777777" w:rsidR="003152B4" w:rsidRDefault="003152B4" w:rsidP="003152B4"/>
    <w:p w14:paraId="1C94A8A1" w14:textId="009FF576" w:rsidR="0097178D" w:rsidRPr="0097178D" w:rsidRDefault="003152B4" w:rsidP="0097178D">
      <w:pPr>
        <w:rPr>
          <w:lang w:val="en-US"/>
        </w:rPr>
      </w:pPr>
      <w:proofErr w:type="gramStart"/>
      <w:r>
        <w:t>First of all</w:t>
      </w:r>
      <w:proofErr w:type="gramEnd"/>
      <w:r>
        <w:t xml:space="preserve">, we need to discuss the impact of the warning period. It states that if the UE has not received the RRC information of the soft satellite switching ahead </w:t>
      </w:r>
      <w:r w:rsidR="0097178D">
        <w:t xml:space="preserve">none of the requirements are applicable. </w:t>
      </w:r>
      <w:r w:rsidR="00204B02">
        <w:t>One</w:t>
      </w:r>
      <w:r w:rsidR="0097178D">
        <w:rPr>
          <w:lang w:val="en-US"/>
        </w:rPr>
        <w:t xml:space="preserve"> aspect is that the definition of the “</w:t>
      </w:r>
      <w:r w:rsidR="0097178D" w:rsidRPr="00067391">
        <w:rPr>
          <w:color w:val="000000"/>
          <w:szCs w:val="21"/>
        </w:rPr>
        <w:t>the broadcasting of the last updated value for t-ServiceStart-r18</w:t>
      </w:r>
      <w:r w:rsidR="0097178D">
        <w:rPr>
          <w:color w:val="000000"/>
          <w:szCs w:val="21"/>
        </w:rPr>
        <w:t xml:space="preserve">” </w:t>
      </w:r>
      <w:r w:rsidR="0097178D">
        <w:rPr>
          <w:lang w:val="en-US"/>
        </w:rPr>
        <w:t xml:space="preserve">might lead to ambiguous </w:t>
      </w:r>
      <w:r w:rsidR="0097178D">
        <w:rPr>
          <w:lang w:val="en-US"/>
        </w:rPr>
        <w:lastRenderedPageBreak/>
        <w:t xml:space="preserve">interpretation. Besides, the point of the requirement shall not be the acquisition of the information by the UE, but the availability of the information to this UE. Instead of indicating the </w:t>
      </w:r>
      <w:r w:rsidR="0097178D" w:rsidRPr="0097178D">
        <w:rPr>
          <w:i/>
          <w:iCs/>
          <w:lang w:val="en-US"/>
        </w:rPr>
        <w:t>“last slot of SI transmission within the modification period where the broadcasting of the last updated value of t-serviceStart-r18…”</w:t>
      </w:r>
      <w:r w:rsidR="0097178D">
        <w:rPr>
          <w:i/>
          <w:iCs/>
          <w:lang w:val="en-US"/>
        </w:rPr>
        <w:t xml:space="preserve"> </w:t>
      </w:r>
      <w:r w:rsidR="0097178D">
        <w:rPr>
          <w:lang w:val="en-US"/>
        </w:rPr>
        <w:t xml:space="preserve">it is </w:t>
      </w:r>
      <w:proofErr w:type="gramStart"/>
      <w:r w:rsidR="0097178D">
        <w:rPr>
          <w:lang w:val="en-US"/>
        </w:rPr>
        <w:t>more clear</w:t>
      </w:r>
      <w:proofErr w:type="gramEnd"/>
      <w:r w:rsidR="0097178D">
        <w:rPr>
          <w:lang w:val="en-US"/>
        </w:rPr>
        <w:t xml:space="preserve"> to say, </w:t>
      </w:r>
      <w:r w:rsidR="0097178D" w:rsidRPr="0097178D">
        <w:rPr>
          <w:i/>
          <w:iCs/>
          <w:lang w:val="en-US"/>
        </w:rPr>
        <w:t>“</w:t>
      </w:r>
      <w:r w:rsidR="0097178D" w:rsidRPr="0097178D">
        <w:rPr>
          <w:i/>
          <w:iCs/>
        </w:rPr>
        <w:t>If the network has transmitted the value of t-serviceStart-r18 and not modified since the last SI modification period that is at least [x] before t-serviceStart-r18</w:t>
      </w:r>
      <w:r w:rsidR="0097178D" w:rsidRPr="0097178D">
        <w:rPr>
          <w:i/>
          <w:iCs/>
          <w:lang w:val="en-US"/>
        </w:rPr>
        <w:t>”</w:t>
      </w:r>
    </w:p>
    <w:p w14:paraId="4241BEC6" w14:textId="32B25C6B" w:rsidR="003152B4" w:rsidRDefault="003152B4" w:rsidP="0097178D">
      <w:pPr>
        <w:pStyle w:val="RAN4proposal"/>
      </w:pPr>
      <w:r>
        <w:t xml:space="preserve"> </w:t>
      </w:r>
      <w:bookmarkStart w:id="2" w:name="_Toc210403845"/>
      <w:r w:rsidR="0097178D">
        <w:t>Rephrase the requirements: “</w:t>
      </w:r>
      <w:r w:rsidR="00542797">
        <w:t>The requirements in this clause are not applicable i</w:t>
      </w:r>
      <w:r w:rsidR="0097178D">
        <w:t>f the network has transmitted the value of t-serviceStart-r18 and not modified since the last SI modification period that is at least [x] before t-serviceStart-r18</w:t>
      </w:r>
      <w:r w:rsidR="00542797">
        <w:t>”</w:t>
      </w:r>
      <w:r w:rsidR="0097178D">
        <w:t>.</w:t>
      </w:r>
      <w:bookmarkEnd w:id="2"/>
      <w:r w:rsidR="0097178D">
        <w:t xml:space="preserve"> </w:t>
      </w:r>
    </w:p>
    <w:p w14:paraId="7A6490AF" w14:textId="3E20EB70" w:rsidR="003152B4" w:rsidRDefault="0097178D" w:rsidP="003152B4">
      <w:pPr>
        <w:rPr>
          <w:lang w:val="en-US"/>
        </w:rPr>
      </w:pPr>
      <w:r>
        <w:rPr>
          <w:lang w:val="en-US"/>
        </w:rPr>
        <w:t xml:space="preserve">For the second part we would like to have a value that is more in line with the processing times required in Ku band, </w:t>
      </w:r>
      <w:proofErr w:type="gramStart"/>
      <w:r>
        <w:rPr>
          <w:lang w:val="en-US"/>
        </w:rPr>
        <w:t>in order to</w:t>
      </w:r>
      <w:proofErr w:type="gramEnd"/>
      <w:r>
        <w:rPr>
          <w:lang w:val="en-US"/>
        </w:rPr>
        <w:t xml:space="preserve"> have </w:t>
      </w:r>
      <w:proofErr w:type="gramStart"/>
      <w:r>
        <w:rPr>
          <w:lang w:val="en-US"/>
        </w:rPr>
        <w:t>an</w:t>
      </w:r>
      <w:proofErr w:type="gramEnd"/>
      <w:r>
        <w:rPr>
          <w:lang w:val="en-US"/>
        </w:rPr>
        <w:t xml:space="preserve"> harmonic specification. For </w:t>
      </w:r>
      <w:proofErr w:type="gramStart"/>
      <w:r>
        <w:rPr>
          <w:lang w:val="en-US"/>
        </w:rPr>
        <w:t>that,  we</w:t>
      </w:r>
      <w:proofErr w:type="gramEnd"/>
      <w:r>
        <w:rPr>
          <w:lang w:val="en-US"/>
        </w:rPr>
        <w:t xml:space="preserve"> propose to halve the current value considered:</w:t>
      </w:r>
    </w:p>
    <w:p w14:paraId="6F9A05FF" w14:textId="195D96C4" w:rsidR="0097178D" w:rsidRPr="0097178D" w:rsidRDefault="0097178D" w:rsidP="0097178D">
      <w:pPr>
        <w:pStyle w:val="RAN4proposal"/>
        <w:rPr>
          <w:lang w:val="en-US"/>
        </w:rPr>
      </w:pPr>
      <w:bookmarkStart w:id="3" w:name="_Toc210403846"/>
      <w:r>
        <w:rPr>
          <w:lang w:val="en-US"/>
        </w:rPr>
        <w:t>The warning period shall be 0.5 seconds for the applicability of soft satellite switching requirements.</w:t>
      </w:r>
      <w:bookmarkEnd w:id="3"/>
      <w:r>
        <w:rPr>
          <w:lang w:val="en-US"/>
        </w:rPr>
        <w:t xml:space="preserve"> </w:t>
      </w:r>
    </w:p>
    <w:p w14:paraId="751A0CEF" w14:textId="77777777" w:rsidR="006E576D" w:rsidRDefault="006E576D" w:rsidP="006E576D">
      <w:pPr>
        <w:pStyle w:val="RAN4proposal"/>
        <w:numPr>
          <w:ilvl w:val="0"/>
          <w:numId w:val="0"/>
        </w:numPr>
        <w:rPr>
          <w:lang w:val="en-US"/>
        </w:rPr>
      </w:pPr>
    </w:p>
    <w:p w14:paraId="46C38F1E" w14:textId="77777777" w:rsidR="00893D2E" w:rsidRPr="008F786B" w:rsidRDefault="00893D2E">
      <w:pPr>
        <w:rPr>
          <w:rFonts w:ascii="Arial" w:eastAsia="SimSun" w:hAnsi="Arial" w:cs="Times New Roman"/>
          <w:sz w:val="36"/>
          <w:szCs w:val="20"/>
        </w:rPr>
      </w:pPr>
      <w:bookmarkStart w:id="4" w:name="_Toc116995848"/>
      <w:r w:rsidRPr="008F786B">
        <w:br w:type="page"/>
      </w:r>
    </w:p>
    <w:p w14:paraId="57565A1F" w14:textId="77777777" w:rsidR="00CD7492" w:rsidRPr="008F786B" w:rsidRDefault="00CD7492" w:rsidP="00A37002">
      <w:pPr>
        <w:pStyle w:val="RAN4H1"/>
      </w:pPr>
      <w:r w:rsidRPr="008F786B">
        <w:lastRenderedPageBreak/>
        <w:t>Conclusion</w:t>
      </w:r>
      <w:bookmarkEnd w:id="4"/>
    </w:p>
    <w:p w14:paraId="26CC4A81" w14:textId="6DF68179" w:rsidR="00381F95" w:rsidRPr="008F786B" w:rsidRDefault="00C452BC" w:rsidP="00936159">
      <w:r>
        <w:t xml:space="preserve">In this paper we provided our views on the NTN operation in the KU band. We focused our discussion </w:t>
      </w:r>
      <w:proofErr w:type="gramStart"/>
      <w:r>
        <w:t>in</w:t>
      </w:r>
      <w:proofErr w:type="gramEnd"/>
      <w:r>
        <w:t xml:space="preserve"> open issues of the previous WF, and based on our analysis we provided the following list of proposals:</w:t>
      </w:r>
    </w:p>
    <w:p w14:paraId="5853FC2E" w14:textId="77777777" w:rsidR="00542797"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03845" w:history="1">
        <w:r w:rsidR="00542797" w:rsidRPr="007F4B23">
          <w:rPr>
            <w:rStyle w:val="Hyperlink"/>
            <w:noProof/>
          </w:rPr>
          <w:t>Proposal 1: Rephrase the requirements: “The requirements in this clause are not applicable if the network has transmitted the value of t-serviceStart-r18 and not modified since the last SI modification period that is at least [x] before t-serviceStart-r18”.</w:t>
        </w:r>
      </w:hyperlink>
    </w:p>
    <w:p w14:paraId="28FE68BF" w14:textId="77777777" w:rsidR="00542797" w:rsidRDefault="0054279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03846" w:history="1">
        <w:r w:rsidRPr="007F4B23">
          <w:rPr>
            <w:rStyle w:val="Hyperlink"/>
            <w:noProof/>
            <w:lang w:val="en-US"/>
          </w:rPr>
          <w:t>Proposal 2: The warning period shall be 0.5 seconds for the applicability of soft satellite switching requirements.</w:t>
        </w:r>
      </w:hyperlink>
    </w:p>
    <w:p w14:paraId="28993779" w14:textId="430540C7" w:rsidR="00847264" w:rsidRPr="008F786B" w:rsidRDefault="00A4355E" w:rsidP="008C39F7">
      <w:r w:rsidRPr="008F786B">
        <w:fldChar w:fldCharType="end"/>
      </w:r>
      <w:bookmarkStart w:id="5" w:name="_Toc116995849"/>
    </w:p>
    <w:p w14:paraId="18F1E33E" w14:textId="77777777" w:rsidR="003B659E" w:rsidRPr="008F786B" w:rsidRDefault="003B659E" w:rsidP="0060543D">
      <w:pPr>
        <w:pStyle w:val="RAN4H1"/>
        <w:numPr>
          <w:ilvl w:val="0"/>
          <w:numId w:val="0"/>
        </w:numPr>
        <w:ind w:left="360" w:hanging="360"/>
      </w:pPr>
      <w:r w:rsidRPr="008F786B">
        <w:t>References</w:t>
      </w:r>
      <w:bookmarkEnd w:id="5"/>
    </w:p>
    <w:p w14:paraId="0A51455D" w14:textId="40A102F8" w:rsidR="000D31A0" w:rsidRPr="008F786B" w:rsidRDefault="003152B4" w:rsidP="000D31A0">
      <w:pPr>
        <w:pStyle w:val="ListParagraph"/>
        <w:numPr>
          <w:ilvl w:val="0"/>
          <w:numId w:val="21"/>
        </w:numPr>
        <w:ind w:right="-22"/>
      </w:pPr>
      <w:bookmarkStart w:id="6" w:name="_Ref114500673"/>
      <w:bookmarkStart w:id="7" w:name="_Ref194052563"/>
      <w:bookmarkStart w:id="8" w:name="_Ref197606253"/>
      <w:bookmarkEnd w:id="6"/>
      <w:r w:rsidRPr="003152B4">
        <w:t xml:space="preserve">  R4-2512121</w:t>
      </w:r>
      <w:r w:rsidR="000D31A0">
        <w:t xml:space="preserve">, </w:t>
      </w:r>
      <w:r w:rsidR="000D31A0" w:rsidRPr="00322391">
        <w:t xml:space="preserve">WF on RRM requirements for </w:t>
      </w:r>
      <w:proofErr w:type="spellStart"/>
      <w:r w:rsidR="000D31A0" w:rsidRPr="00322391">
        <w:t>NR_NTN_Ku_bands</w:t>
      </w:r>
      <w:proofErr w:type="spellEnd"/>
      <w:r w:rsidR="000D31A0">
        <w:t xml:space="preserve">, Apple, </w:t>
      </w:r>
      <w:r w:rsidR="000D31A0" w:rsidRPr="00322391">
        <w:t>3GPP TSG-RAN WG4 Meeting #11</w:t>
      </w:r>
      <w:bookmarkEnd w:id="7"/>
      <w:r>
        <w:t>6</w:t>
      </w:r>
      <w:bookmarkEnd w:id="8"/>
      <w:r w:rsidR="000D31A0" w:rsidRPr="00322391">
        <w:tab/>
      </w:r>
    </w:p>
    <w:p w14:paraId="5ADBEC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991B9" w14:textId="77777777" w:rsidR="00433E45" w:rsidRDefault="00433E45" w:rsidP="00001C9B">
      <w:pPr>
        <w:spacing w:after="0" w:line="240" w:lineRule="auto"/>
      </w:pPr>
      <w:r>
        <w:separator/>
      </w:r>
    </w:p>
  </w:endnote>
  <w:endnote w:type="continuationSeparator" w:id="0">
    <w:p w14:paraId="2AF23931" w14:textId="77777777" w:rsidR="00433E45" w:rsidRDefault="00433E4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10B0" w14:textId="77777777" w:rsidR="00433E45" w:rsidRDefault="00433E45" w:rsidP="00001C9B">
      <w:pPr>
        <w:spacing w:after="0" w:line="240" w:lineRule="auto"/>
      </w:pPr>
      <w:r>
        <w:separator/>
      </w:r>
    </w:p>
  </w:footnote>
  <w:footnote w:type="continuationSeparator" w:id="0">
    <w:p w14:paraId="514DF22A" w14:textId="77777777" w:rsidR="00433E45" w:rsidRDefault="00433E4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33"/>
    <w:multiLevelType w:val="hybridMultilevel"/>
    <w:tmpl w:val="0C1A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71EE3"/>
    <w:multiLevelType w:val="hybridMultilevel"/>
    <w:tmpl w:val="25EAD8F4"/>
    <w:lvl w:ilvl="0" w:tplc="4AC8539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E954C0E4"/>
    <w:lvl w:ilvl="0" w:tplc="5AFE58D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617542"/>
    <w:multiLevelType w:val="hybridMultilevel"/>
    <w:tmpl w:val="DC0C56F8"/>
    <w:lvl w:ilvl="0" w:tplc="4BB855B4">
      <w:start w:val="1"/>
      <w:numFmt w:val="bullet"/>
      <w:lvlText w:val="•"/>
      <w:lvlJc w:val="left"/>
      <w:pPr>
        <w:ind w:left="20" w:hanging="400"/>
      </w:pPr>
      <w:rPr>
        <w:rFonts w:ascii="Arial" w:hAnsi="Arial" w:cs="Times New Roman" w:hint="default"/>
      </w:rPr>
    </w:lvl>
    <w:lvl w:ilvl="1" w:tplc="040B001B">
      <w:start w:val="1"/>
      <w:numFmt w:val="bullet"/>
      <w:lvlText w:val=""/>
      <w:lvlJc w:val="left"/>
      <w:pPr>
        <w:ind w:left="420" w:hanging="400"/>
      </w:pPr>
      <w:rPr>
        <w:rFonts w:ascii="Wingdings" w:hAnsi="Wingdings" w:hint="default"/>
      </w:rPr>
    </w:lvl>
    <w:lvl w:ilvl="2" w:tplc="04090005">
      <w:start w:val="1"/>
      <w:numFmt w:val="bullet"/>
      <w:lvlText w:val=""/>
      <w:lvlJc w:val="left"/>
      <w:pPr>
        <w:ind w:left="820" w:hanging="400"/>
      </w:pPr>
      <w:rPr>
        <w:rFonts w:ascii="Wingdings" w:hAnsi="Wingdings" w:hint="default"/>
      </w:rPr>
    </w:lvl>
    <w:lvl w:ilvl="3" w:tplc="04090001">
      <w:start w:val="1"/>
      <w:numFmt w:val="bullet"/>
      <w:lvlText w:val=""/>
      <w:lvlJc w:val="left"/>
      <w:pPr>
        <w:ind w:left="1220" w:hanging="400"/>
      </w:pPr>
      <w:rPr>
        <w:rFonts w:ascii="Wingdings" w:hAnsi="Wingdings" w:hint="default"/>
      </w:rPr>
    </w:lvl>
    <w:lvl w:ilvl="4" w:tplc="04090003">
      <w:start w:val="1"/>
      <w:numFmt w:val="bullet"/>
      <w:lvlText w:val=""/>
      <w:lvlJc w:val="left"/>
      <w:pPr>
        <w:ind w:left="1620" w:hanging="400"/>
      </w:pPr>
      <w:rPr>
        <w:rFonts w:ascii="Wingdings" w:hAnsi="Wingdings" w:hint="default"/>
      </w:rPr>
    </w:lvl>
    <w:lvl w:ilvl="5" w:tplc="04090005">
      <w:start w:val="1"/>
      <w:numFmt w:val="bullet"/>
      <w:lvlText w:val=""/>
      <w:lvlJc w:val="left"/>
      <w:pPr>
        <w:ind w:left="2020" w:hanging="400"/>
      </w:pPr>
      <w:rPr>
        <w:rFonts w:ascii="Wingdings" w:hAnsi="Wingdings" w:hint="default"/>
      </w:rPr>
    </w:lvl>
    <w:lvl w:ilvl="6" w:tplc="04090001">
      <w:start w:val="1"/>
      <w:numFmt w:val="bullet"/>
      <w:lvlText w:val=""/>
      <w:lvlJc w:val="left"/>
      <w:pPr>
        <w:ind w:left="2420" w:hanging="400"/>
      </w:pPr>
      <w:rPr>
        <w:rFonts w:ascii="Wingdings" w:hAnsi="Wingdings" w:hint="default"/>
      </w:rPr>
    </w:lvl>
    <w:lvl w:ilvl="7" w:tplc="04090003">
      <w:start w:val="1"/>
      <w:numFmt w:val="bullet"/>
      <w:lvlText w:val=""/>
      <w:lvlJc w:val="left"/>
      <w:pPr>
        <w:ind w:left="2820" w:hanging="400"/>
      </w:pPr>
      <w:rPr>
        <w:rFonts w:ascii="Wingdings" w:hAnsi="Wingdings" w:hint="default"/>
      </w:rPr>
    </w:lvl>
    <w:lvl w:ilvl="8" w:tplc="04090005">
      <w:start w:val="1"/>
      <w:numFmt w:val="bullet"/>
      <w:lvlText w:val=""/>
      <w:lvlJc w:val="left"/>
      <w:pPr>
        <w:ind w:left="3220" w:hanging="400"/>
      </w:pPr>
      <w:rPr>
        <w:rFonts w:ascii="Wingdings" w:hAnsi="Wingdings" w:hint="default"/>
      </w:rPr>
    </w:lvl>
  </w:abstractNum>
  <w:num w:numId="1" w16cid:durableId="166945348">
    <w:abstractNumId w:val="2"/>
  </w:num>
  <w:num w:numId="2" w16cid:durableId="1469392472">
    <w:abstractNumId w:val="8"/>
  </w:num>
  <w:num w:numId="3" w16cid:durableId="1792749823">
    <w:abstractNumId w:val="13"/>
  </w:num>
  <w:num w:numId="4" w16cid:durableId="517735681">
    <w:abstractNumId w:val="7"/>
  </w:num>
  <w:num w:numId="5" w16cid:durableId="1142041724">
    <w:abstractNumId w:val="16"/>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19"/>
  </w:num>
  <w:num w:numId="28" w16cid:durableId="2095668156">
    <w:abstractNumId w:val="5"/>
  </w:num>
  <w:num w:numId="29" w16cid:durableId="1861818839">
    <w:abstractNumId w:val="3"/>
  </w:num>
  <w:num w:numId="30" w16cid:durableId="1758288136">
    <w:abstractNumId w:val="17"/>
  </w:num>
  <w:num w:numId="31" w16cid:durableId="1418012526">
    <w:abstractNumId w:val="9"/>
  </w:num>
  <w:num w:numId="32" w16cid:durableId="193078670">
    <w:abstractNumId w:val="20"/>
  </w:num>
  <w:num w:numId="33" w16cid:durableId="248002075">
    <w:abstractNumId w:val="17"/>
  </w:num>
  <w:num w:numId="34" w16cid:durableId="2110732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5028"/>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D31A0"/>
    <w:rsid w:val="00106416"/>
    <w:rsid w:val="00110481"/>
    <w:rsid w:val="001127C9"/>
    <w:rsid w:val="001141F5"/>
    <w:rsid w:val="00114498"/>
    <w:rsid w:val="00115B88"/>
    <w:rsid w:val="00126B16"/>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04B02"/>
    <w:rsid w:val="00216379"/>
    <w:rsid w:val="00217EE5"/>
    <w:rsid w:val="0023559D"/>
    <w:rsid w:val="00235F5C"/>
    <w:rsid w:val="0024235F"/>
    <w:rsid w:val="002433E2"/>
    <w:rsid w:val="00257FA3"/>
    <w:rsid w:val="00277B56"/>
    <w:rsid w:val="00282A74"/>
    <w:rsid w:val="002849D4"/>
    <w:rsid w:val="002876C7"/>
    <w:rsid w:val="00295E70"/>
    <w:rsid w:val="002A19F5"/>
    <w:rsid w:val="002B08CB"/>
    <w:rsid w:val="002B4922"/>
    <w:rsid w:val="002B69F3"/>
    <w:rsid w:val="002C22C3"/>
    <w:rsid w:val="002C2D19"/>
    <w:rsid w:val="002D10FA"/>
    <w:rsid w:val="002D4C55"/>
    <w:rsid w:val="002E411A"/>
    <w:rsid w:val="002E6DED"/>
    <w:rsid w:val="00300956"/>
    <w:rsid w:val="00307EE8"/>
    <w:rsid w:val="0031264E"/>
    <w:rsid w:val="003152B4"/>
    <w:rsid w:val="00317187"/>
    <w:rsid w:val="00321F72"/>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3E45"/>
    <w:rsid w:val="00436A0F"/>
    <w:rsid w:val="00437150"/>
    <w:rsid w:val="0043750A"/>
    <w:rsid w:val="00447577"/>
    <w:rsid w:val="00455028"/>
    <w:rsid w:val="004732E9"/>
    <w:rsid w:val="004854BB"/>
    <w:rsid w:val="00494493"/>
    <w:rsid w:val="00496606"/>
    <w:rsid w:val="004E5E66"/>
    <w:rsid w:val="004E7ADB"/>
    <w:rsid w:val="00503B4D"/>
    <w:rsid w:val="00504EE9"/>
    <w:rsid w:val="00514E4F"/>
    <w:rsid w:val="00521576"/>
    <w:rsid w:val="005250E6"/>
    <w:rsid w:val="00530AD6"/>
    <w:rsid w:val="00532F86"/>
    <w:rsid w:val="00542797"/>
    <w:rsid w:val="00542D23"/>
    <w:rsid w:val="0054442C"/>
    <w:rsid w:val="00545E53"/>
    <w:rsid w:val="00550285"/>
    <w:rsid w:val="00562492"/>
    <w:rsid w:val="005624E0"/>
    <w:rsid w:val="00572A20"/>
    <w:rsid w:val="00581618"/>
    <w:rsid w:val="005836F8"/>
    <w:rsid w:val="005918FA"/>
    <w:rsid w:val="00592A86"/>
    <w:rsid w:val="005935A8"/>
    <w:rsid w:val="005B3029"/>
    <w:rsid w:val="005B4801"/>
    <w:rsid w:val="005C0582"/>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576D"/>
    <w:rsid w:val="006E6311"/>
    <w:rsid w:val="006F0314"/>
    <w:rsid w:val="00701D91"/>
    <w:rsid w:val="00710D71"/>
    <w:rsid w:val="007145FF"/>
    <w:rsid w:val="00715B2A"/>
    <w:rsid w:val="00721B6E"/>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2F32"/>
    <w:rsid w:val="007E42DC"/>
    <w:rsid w:val="007E4668"/>
    <w:rsid w:val="007F54B9"/>
    <w:rsid w:val="00806A76"/>
    <w:rsid w:val="00811C9D"/>
    <w:rsid w:val="00816C80"/>
    <w:rsid w:val="0081797B"/>
    <w:rsid w:val="0082796A"/>
    <w:rsid w:val="0083707A"/>
    <w:rsid w:val="00841BCD"/>
    <w:rsid w:val="00847264"/>
    <w:rsid w:val="0085194E"/>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395F"/>
    <w:rsid w:val="00936159"/>
    <w:rsid w:val="009633B0"/>
    <w:rsid w:val="0097178D"/>
    <w:rsid w:val="00977E1D"/>
    <w:rsid w:val="009A32FE"/>
    <w:rsid w:val="009B0573"/>
    <w:rsid w:val="009B0FDD"/>
    <w:rsid w:val="009B7B4B"/>
    <w:rsid w:val="009B7C21"/>
    <w:rsid w:val="009E4E6E"/>
    <w:rsid w:val="009E5FA9"/>
    <w:rsid w:val="00A04992"/>
    <w:rsid w:val="00A147AA"/>
    <w:rsid w:val="00A20923"/>
    <w:rsid w:val="00A21D71"/>
    <w:rsid w:val="00A22B78"/>
    <w:rsid w:val="00A246F7"/>
    <w:rsid w:val="00A25AE5"/>
    <w:rsid w:val="00A26442"/>
    <w:rsid w:val="00A37002"/>
    <w:rsid w:val="00A4355E"/>
    <w:rsid w:val="00A520D9"/>
    <w:rsid w:val="00A64DA0"/>
    <w:rsid w:val="00A74866"/>
    <w:rsid w:val="00A92BCD"/>
    <w:rsid w:val="00A96F62"/>
    <w:rsid w:val="00AA1B0E"/>
    <w:rsid w:val="00AA47B6"/>
    <w:rsid w:val="00AA6C6A"/>
    <w:rsid w:val="00AB7A41"/>
    <w:rsid w:val="00AC06C0"/>
    <w:rsid w:val="00AC163B"/>
    <w:rsid w:val="00AC5CA7"/>
    <w:rsid w:val="00AC6058"/>
    <w:rsid w:val="00AE2BA5"/>
    <w:rsid w:val="00AE56B1"/>
    <w:rsid w:val="00AE6D09"/>
    <w:rsid w:val="00AF7A7C"/>
    <w:rsid w:val="00B02070"/>
    <w:rsid w:val="00B24479"/>
    <w:rsid w:val="00B258FE"/>
    <w:rsid w:val="00B26A8A"/>
    <w:rsid w:val="00B408B6"/>
    <w:rsid w:val="00B542DA"/>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4521"/>
    <w:rsid w:val="00C35173"/>
    <w:rsid w:val="00C43F4A"/>
    <w:rsid w:val="00C452BC"/>
    <w:rsid w:val="00C46548"/>
    <w:rsid w:val="00C574D5"/>
    <w:rsid w:val="00C73F32"/>
    <w:rsid w:val="00C851E4"/>
    <w:rsid w:val="00C87462"/>
    <w:rsid w:val="00CA180C"/>
    <w:rsid w:val="00CB22B2"/>
    <w:rsid w:val="00CC3EE2"/>
    <w:rsid w:val="00CD6C0E"/>
    <w:rsid w:val="00CD7492"/>
    <w:rsid w:val="00CE3A6B"/>
    <w:rsid w:val="00CF3D02"/>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6D4"/>
    <w:rsid w:val="00E437D2"/>
    <w:rsid w:val="00E43BF9"/>
    <w:rsid w:val="00E45BB2"/>
    <w:rsid w:val="00E47BC6"/>
    <w:rsid w:val="00E51930"/>
    <w:rsid w:val="00E54B70"/>
    <w:rsid w:val="00E55751"/>
    <w:rsid w:val="00E5652C"/>
    <w:rsid w:val="00E60D14"/>
    <w:rsid w:val="00E65BD6"/>
    <w:rsid w:val="00E7398E"/>
    <w:rsid w:val="00E82B94"/>
    <w:rsid w:val="00E87217"/>
    <w:rsid w:val="00EA2311"/>
    <w:rsid w:val="00EC7BC3"/>
    <w:rsid w:val="00ED7600"/>
    <w:rsid w:val="00EF6073"/>
    <w:rsid w:val="00EF698B"/>
    <w:rsid w:val="00F01FA6"/>
    <w:rsid w:val="00F1362C"/>
    <w:rsid w:val="00F414F1"/>
    <w:rsid w:val="00F42313"/>
    <w:rsid w:val="00F508B8"/>
    <w:rsid w:val="00F72CB1"/>
    <w:rsid w:val="00F8215E"/>
    <w:rsid w:val="00F824F5"/>
    <w:rsid w:val="00F8708A"/>
    <w:rsid w:val="00F90FAB"/>
    <w:rsid w:val="00F9374D"/>
    <w:rsid w:val="00FB6924"/>
    <w:rsid w:val="00FC29B9"/>
    <w:rsid w:val="00FC6FD3"/>
    <w:rsid w:val="00FE305C"/>
    <w:rsid w:val="00FF0301"/>
    <w:rsid w:val="00FF103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05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76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6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00998975">
      <w:bodyDiv w:val="1"/>
      <w:marLeft w:val="0"/>
      <w:marRight w:val="0"/>
      <w:marTop w:val="0"/>
      <w:marBottom w:val="0"/>
      <w:divBdr>
        <w:top w:val="none" w:sz="0" w:space="0" w:color="auto"/>
        <w:left w:val="none" w:sz="0" w:space="0" w:color="auto"/>
        <w:bottom w:val="none" w:sz="0" w:space="0" w:color="auto"/>
        <w:right w:val="none" w:sz="0" w:space="0" w:color="auto"/>
      </w:divBdr>
    </w:div>
    <w:div w:id="1107561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2004088">
      <w:bodyDiv w:val="1"/>
      <w:marLeft w:val="0"/>
      <w:marRight w:val="0"/>
      <w:marTop w:val="0"/>
      <w:marBottom w:val="0"/>
      <w:divBdr>
        <w:top w:val="none" w:sz="0" w:space="0" w:color="auto"/>
        <w:left w:val="none" w:sz="0" w:space="0" w:color="auto"/>
        <w:bottom w:val="none" w:sz="0" w:space="0" w:color="auto"/>
        <w:right w:val="none" w:sz="0" w:space="0" w:color="auto"/>
      </w:divBdr>
    </w:div>
    <w:div w:id="603462233">
      <w:bodyDiv w:val="1"/>
      <w:marLeft w:val="0"/>
      <w:marRight w:val="0"/>
      <w:marTop w:val="0"/>
      <w:marBottom w:val="0"/>
      <w:divBdr>
        <w:top w:val="none" w:sz="0" w:space="0" w:color="auto"/>
        <w:left w:val="none" w:sz="0" w:space="0" w:color="auto"/>
        <w:bottom w:val="none" w:sz="0" w:space="0" w:color="auto"/>
        <w:right w:val="none" w:sz="0" w:space="0" w:color="auto"/>
      </w:divBdr>
    </w:div>
    <w:div w:id="703678934">
      <w:bodyDiv w:val="1"/>
      <w:marLeft w:val="0"/>
      <w:marRight w:val="0"/>
      <w:marTop w:val="0"/>
      <w:marBottom w:val="0"/>
      <w:divBdr>
        <w:top w:val="none" w:sz="0" w:space="0" w:color="auto"/>
        <w:left w:val="none" w:sz="0" w:space="0" w:color="auto"/>
        <w:bottom w:val="none" w:sz="0" w:space="0" w:color="auto"/>
        <w:right w:val="none" w:sz="0" w:space="0" w:color="auto"/>
      </w:divBdr>
    </w:div>
    <w:div w:id="730226541">
      <w:bodyDiv w:val="1"/>
      <w:marLeft w:val="0"/>
      <w:marRight w:val="0"/>
      <w:marTop w:val="0"/>
      <w:marBottom w:val="0"/>
      <w:divBdr>
        <w:top w:val="none" w:sz="0" w:space="0" w:color="auto"/>
        <w:left w:val="none" w:sz="0" w:space="0" w:color="auto"/>
        <w:bottom w:val="none" w:sz="0" w:space="0" w:color="auto"/>
        <w:right w:val="none" w:sz="0" w:space="0" w:color="auto"/>
      </w:divBdr>
    </w:div>
    <w:div w:id="1043215929">
      <w:bodyDiv w:val="1"/>
      <w:marLeft w:val="0"/>
      <w:marRight w:val="0"/>
      <w:marTop w:val="0"/>
      <w:marBottom w:val="0"/>
      <w:divBdr>
        <w:top w:val="none" w:sz="0" w:space="0" w:color="auto"/>
        <w:left w:val="none" w:sz="0" w:space="0" w:color="auto"/>
        <w:bottom w:val="none" w:sz="0" w:space="0" w:color="auto"/>
        <w:right w:val="none" w:sz="0" w:space="0" w:color="auto"/>
      </w:divBdr>
    </w:div>
    <w:div w:id="1088387738">
      <w:bodyDiv w:val="1"/>
      <w:marLeft w:val="0"/>
      <w:marRight w:val="0"/>
      <w:marTop w:val="0"/>
      <w:marBottom w:val="0"/>
      <w:divBdr>
        <w:top w:val="none" w:sz="0" w:space="0" w:color="auto"/>
        <w:left w:val="none" w:sz="0" w:space="0" w:color="auto"/>
        <w:bottom w:val="none" w:sz="0" w:space="0" w:color="auto"/>
        <w:right w:val="none" w:sz="0" w:space="0" w:color="auto"/>
      </w:divBdr>
    </w:div>
    <w:div w:id="1614172011">
      <w:bodyDiv w:val="1"/>
      <w:marLeft w:val="0"/>
      <w:marRight w:val="0"/>
      <w:marTop w:val="0"/>
      <w:marBottom w:val="0"/>
      <w:divBdr>
        <w:top w:val="none" w:sz="0" w:space="0" w:color="auto"/>
        <w:left w:val="none" w:sz="0" w:space="0" w:color="auto"/>
        <w:bottom w:val="none" w:sz="0" w:space="0" w:color="auto"/>
        <w:right w:val="none" w:sz="0" w:space="0" w:color="auto"/>
      </w:divBdr>
    </w:div>
    <w:div w:id="177158845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4750935">
      <w:bodyDiv w:val="1"/>
      <w:marLeft w:val="0"/>
      <w:marRight w:val="0"/>
      <w:marTop w:val="0"/>
      <w:marBottom w:val="0"/>
      <w:divBdr>
        <w:top w:val="none" w:sz="0" w:space="0" w:color="auto"/>
        <w:left w:val="none" w:sz="0" w:space="0" w:color="auto"/>
        <w:bottom w:val="none" w:sz="0" w:space="0" w:color="auto"/>
        <w:right w:val="none" w:sz="0" w:space="0" w:color="auto"/>
      </w:divBdr>
    </w:div>
    <w:div w:id="2044554857">
      <w:bodyDiv w:val="1"/>
      <w:marLeft w:val="0"/>
      <w:marRight w:val="0"/>
      <w:marTop w:val="0"/>
      <w:marBottom w:val="0"/>
      <w:divBdr>
        <w:top w:val="none" w:sz="0" w:space="0" w:color="auto"/>
        <w:left w:val="none" w:sz="0" w:space="0" w:color="auto"/>
        <w:bottom w:val="none" w:sz="0" w:space="0" w:color="auto"/>
        <w:right w:val="none" w:sz="0" w:space="0" w:color="auto"/>
      </w:divBdr>
    </w:div>
    <w:div w:id="2109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2025-10-03T17:34:00Z</dcterms:created>
  <dcterms:modified xsi:type="dcterms:W3CDTF">2025-10-03T17:39:00Z</dcterms:modified>
</cp:coreProperties>
</file>